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Benjamin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astonishing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headquartered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partisanship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insolvencies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subsidiaries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subpoena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subpoena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subpoena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Sergeant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inquiry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aisle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Deloitte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nowadays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kernel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meritorious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pathfinders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earthquake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inquiries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affiliated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sunshine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antiseptic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revamped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Schwarzenegger's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Benjamin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consolidate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Benjamin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neophyte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dubious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bandwidth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can still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Sacramento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sabbatical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Cordova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reinvigorate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Cooley: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3_Oversight_Matters_Episode_3_State_Assemblymemb... (Completed  06/08/21)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SJQ5BwNEvmvw5gWRn_VcYaqQu0Ieq-D-pHZVIdOVz6GrXGCuWMhzBVvUbepbFguLT-JrgaNE-jszSW4W47x5tfWemkU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